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3C" w:rsidRDefault="0072663C">
      <w:pPr>
        <w:pStyle w:val="1"/>
        <w:shd w:val="clear" w:color="auto" w:fill="auto"/>
        <w:spacing w:after="180" w:line="307" w:lineRule="auto"/>
        <w:ind w:left="11220" w:hanging="1960"/>
      </w:pPr>
    </w:p>
    <w:p w:rsidR="00E12FC2" w:rsidRDefault="00E12FC2">
      <w:pPr>
        <w:pStyle w:val="1"/>
        <w:shd w:val="clear" w:color="auto" w:fill="auto"/>
        <w:spacing w:after="180" w:line="307" w:lineRule="auto"/>
        <w:ind w:left="11220" w:hanging="19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8.45pt;margin-top:1pt;width:57.6pt;height:15.85pt;z-index:-125829373;mso-wrap-distance-left:9pt;mso-wrap-distance-right:9pt;mso-position-horizontal-relative:page" filled="f" stroked="f">
            <v:textbox inset="0,0,0,0">
              <w:txbxContent>
                <w:p w:rsidR="00E12FC2" w:rsidRDefault="0072663C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right"/>
                  </w:pPr>
                  <w:r>
                    <w:t>ПРОЕКТ</w:t>
                  </w:r>
                </w:p>
              </w:txbxContent>
            </v:textbox>
            <w10:wrap type="square" side="right" anchorx="page"/>
          </v:shape>
        </w:pict>
      </w:r>
      <w:r w:rsidR="0072663C">
        <w:t xml:space="preserve">Приложение № 1 к приказу министерства </w:t>
      </w:r>
      <w:r w:rsidR="0072663C">
        <w:t>тарифной политики Красноярского края от 00.00.2020 № 000-п</w:t>
      </w:r>
    </w:p>
    <w:p w:rsidR="00E12FC2" w:rsidRDefault="0072663C">
      <w:pPr>
        <w:pStyle w:val="1"/>
        <w:shd w:val="clear" w:color="auto" w:fill="auto"/>
        <w:spacing w:after="300" w:line="305" w:lineRule="auto"/>
        <w:ind w:firstLine="0"/>
        <w:jc w:val="center"/>
      </w:pPr>
      <w:r>
        <w:t>Индикативный предельный уровень цены на тепловую энергию (мощность) на территории ценовой зоны</w:t>
      </w:r>
      <w:r>
        <w:br/>
        <w:t xml:space="preserve">теплоснабжения - муниципальное образование городской округ - город Канск Красноярского края на 2021 </w:t>
      </w:r>
      <w: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9583"/>
        <w:gridCol w:w="1926"/>
        <w:gridCol w:w="1969"/>
      </w:tblGrid>
      <w:tr w:rsidR="00E12FC2">
        <w:tblPrEx>
          <w:tblCellMar>
            <w:top w:w="0" w:type="dxa"/>
            <w:bottom w:w="0" w:type="dxa"/>
          </w:tblCellMar>
        </w:tblPrEx>
        <w:trPr>
          <w:trHeight w:hRule="exact" w:val="1228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Индикативный предельный уровень цены на тепловую энергию (мощность) с 01.01.2021 по 31.12.2021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95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руб./Гкал (без НДС)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руб./Гкал (с НДС)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ТЭЦ» (ИНН 2460237891), номер (индекс) технологически </w:t>
            </w:r>
            <w:r>
              <w:rPr>
                <w:sz w:val="24"/>
                <w:szCs w:val="24"/>
              </w:rPr>
              <w:t>изолированной зоны действия (система теплоснабжения АО «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ТЭЦ») № 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2 238,21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2685,85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ТЭЦ» (ИНН 2460237891), номер (индекс) технологически изолированной зоны действия (система теплоснабжения ТЭЦ ООО «Тепло-Сбыт-Сервис») №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2 238,21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2685,85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ТЭЦ» (ИНН 2460237891), номер (индекс) технологически изолированной зоны действия (системы теплоснабжения котельных АО «</w:t>
            </w:r>
            <w:proofErr w:type="spellStart"/>
            <w:r>
              <w:rPr>
                <w:sz w:val="24"/>
                <w:szCs w:val="24"/>
              </w:rPr>
              <w:t>Гортепло</w:t>
            </w:r>
            <w:proofErr w:type="spellEnd"/>
            <w:r>
              <w:rPr>
                <w:sz w:val="24"/>
                <w:szCs w:val="24"/>
              </w:rPr>
              <w:t>») № 3-15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2 238,21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2685,85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ТЭЦ» (ИНН 2460237891), номер (индекс) технологически </w:t>
            </w:r>
            <w:r>
              <w:rPr>
                <w:sz w:val="24"/>
                <w:szCs w:val="24"/>
              </w:rPr>
              <w:t>изолированной зоны действия (система теплоснабжения котельной АО «</w:t>
            </w:r>
            <w:proofErr w:type="spellStart"/>
            <w:r>
              <w:rPr>
                <w:sz w:val="24"/>
                <w:szCs w:val="24"/>
              </w:rPr>
              <w:t>Красноярскнефтепродукт</w:t>
            </w:r>
            <w:proofErr w:type="spellEnd"/>
            <w:r>
              <w:rPr>
                <w:sz w:val="24"/>
                <w:szCs w:val="24"/>
              </w:rPr>
              <w:t>» филиал «Восточный») № 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2 238,21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2685,85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ТЭЦ» (ИНН 2460237891), номер (индекс) технологически изолированной зоны действия (система теплоснабжения коте</w:t>
            </w:r>
            <w:r>
              <w:rPr>
                <w:sz w:val="24"/>
                <w:szCs w:val="24"/>
              </w:rPr>
              <w:t>льной ФГБУ «ЦЖКУ» Минобороны РФ) № 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2 238,21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2685,85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 ТЭЦ» (ИНН 2460237891), номер (индекс) технологически изолированной зоны действия (система теплоснабжения котельной КГБУЗ «Красноярский краевой противотуберкулезный диспансер №1») № 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238,21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2685,85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СО «</w:t>
            </w:r>
            <w:proofErr w:type="spellStart"/>
            <w:r>
              <w:rPr>
                <w:sz w:val="24"/>
                <w:szCs w:val="24"/>
              </w:rPr>
              <w:t>Канский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 (ИНН 2450003647), номер (индекс) технологически изолированной зоны действия (система теплоснабжения котельной КГБУ СО «</w:t>
            </w:r>
            <w:proofErr w:type="spellStart"/>
            <w:r>
              <w:rPr>
                <w:sz w:val="24"/>
                <w:szCs w:val="24"/>
              </w:rPr>
              <w:t>Канский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интернат») №17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1 999,08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2398,89</w:t>
            </w:r>
          </w:p>
        </w:tc>
      </w:tr>
    </w:tbl>
    <w:p w:rsidR="00E12FC2" w:rsidRDefault="0072663C">
      <w:pPr>
        <w:spacing w:line="1" w:lineRule="exact"/>
        <w:rPr>
          <w:sz w:val="2"/>
          <w:szCs w:val="2"/>
        </w:rPr>
      </w:pPr>
      <w:r>
        <w:br w:type="page"/>
      </w:r>
    </w:p>
    <w:p w:rsidR="00E12FC2" w:rsidRDefault="00E12FC2">
      <w:pPr>
        <w:pStyle w:val="1"/>
        <w:shd w:val="clear" w:color="auto" w:fill="auto"/>
        <w:spacing w:after="540" w:line="283" w:lineRule="auto"/>
        <w:ind w:left="12040" w:hanging="1320"/>
      </w:pPr>
      <w:r>
        <w:lastRenderedPageBreak/>
        <w:pict>
          <v:shape id="_x0000_s2050" type="#_x0000_t202" style="position:absolute;left:0;text-align:left;margin-left:30pt;margin-top:15.1pt;width:54pt;height:15.85pt;z-index:-125829371;mso-wrap-distance-left:9pt;mso-wrap-distance-right:9pt;mso-position-horizontal-relative:page;mso-position-vertical-relative:margin" filled="f" stroked="f">
            <v:textbox inset="0,0,0,0">
              <w:txbxContent>
                <w:p w:rsidR="00E12FC2" w:rsidRDefault="0072663C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</w:pPr>
                  <w:r>
                    <w:t>ПРОЕКТ</w:t>
                  </w:r>
                </w:p>
              </w:txbxContent>
            </v:textbox>
            <w10:wrap type="square" side="right" anchorx="page" anchory="margin"/>
          </v:shape>
        </w:pict>
      </w:r>
      <w:r w:rsidR="0072663C">
        <w:t>Приложение № 2 к приказу министерства тарифной политики Красноярского края от 00.00.2020 № 000-п</w:t>
      </w:r>
    </w:p>
    <w:p w:rsidR="00E12FC2" w:rsidRDefault="0072663C">
      <w:pPr>
        <w:pStyle w:val="1"/>
        <w:shd w:val="clear" w:color="auto" w:fill="auto"/>
        <w:spacing w:after="220"/>
        <w:ind w:firstLine="0"/>
        <w:jc w:val="center"/>
      </w:pPr>
      <w:proofErr w:type="gramStart"/>
      <w:r>
        <w:t>Показатели, в том числе технико-экономические параметры работы котельных и тепловых сетей, установленные Правилами определения в</w:t>
      </w:r>
      <w:r>
        <w:br/>
        <w:t xml:space="preserve">ценовых зонах </w:t>
      </w:r>
      <w:r>
        <w:t>теплоснабжения предельного уровня цены на тепловую энергию (мощность), включая правила индексации предельного</w:t>
      </w:r>
      <w:r>
        <w:br/>
        <w:t>уровня цены на тепловую энергию (мощность), утвержденные постановлением Правительства Российской Федерации от 15.12.2017 №</w:t>
      </w:r>
      <w:r>
        <w:br/>
        <w:t xml:space="preserve">1562 «Об определении в </w:t>
      </w:r>
      <w:r>
        <w:t>ценовых зонах теплоснабжения предельного уровня цены на тепловую энергию (мощность), включая индексацию</w:t>
      </w:r>
      <w:r>
        <w:br/>
        <w:t>предельного уровня</w:t>
      </w:r>
      <w:proofErr w:type="gramEnd"/>
      <w:r>
        <w:t xml:space="preserve"> </w:t>
      </w:r>
      <w:proofErr w:type="gramStart"/>
      <w:r>
        <w:t>цены на тепловую энергию (мощность), и технико-экономических параметров работы котельных и тепловых сетей,</w:t>
      </w:r>
      <w:r>
        <w:br/>
        <w:t>используемых для расчета п</w:t>
      </w:r>
      <w:r>
        <w:t>редельного уровня цены на тепловую энергию (мощность)», на основании которых рассчитаны индикативные</w:t>
      </w:r>
      <w:r>
        <w:br/>
        <w:t>предельные уровни цены на тепловую энергию (мощность) на территории ценовой зоны теплоснабжения - муниципальное образование</w:t>
      </w:r>
      <w:r>
        <w:br/>
        <w:t>городской округ - город Канск К</w:t>
      </w:r>
      <w:r>
        <w:t>расноярского края в разрезе систем теплоснабжения (по виду топлива уголь)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8093"/>
        <w:gridCol w:w="1019"/>
        <w:gridCol w:w="3816"/>
        <w:gridCol w:w="2120"/>
      </w:tblGrid>
      <w:tr w:rsidR="00E12FC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8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Система теплоснабжения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941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center"/>
            </w:pPr>
            <w:proofErr w:type="gramStart"/>
            <w:r>
              <w:t>АО «</w:t>
            </w:r>
            <w:proofErr w:type="spellStart"/>
            <w:r>
              <w:t>Канская</w:t>
            </w:r>
            <w:proofErr w:type="spellEnd"/>
            <w:r>
              <w:t xml:space="preserve"> ТЭЦ» (ИНН 2460237891), номер (индекс) технологически изолированной зоны действия: (система теплоснабжения АО</w:t>
            </w:r>
            <w:r>
              <w:t xml:space="preserve"> «</w:t>
            </w:r>
            <w:proofErr w:type="spellStart"/>
            <w:r>
              <w:t>Канская</w:t>
            </w:r>
            <w:proofErr w:type="spellEnd"/>
            <w:r>
              <w:t xml:space="preserve"> ТЭЦ») № 1; (система теплоснабжения ТЭЦ ООО «Тепло-Сбыт-Сервис») № 2; (системы теплоснабжения котельных АО «</w:t>
            </w:r>
            <w:proofErr w:type="spellStart"/>
            <w:r>
              <w:t>Гортепло</w:t>
            </w:r>
            <w:proofErr w:type="spellEnd"/>
            <w:r>
              <w:t>») № 3- 15; (система теплоснабжения котельной АО «</w:t>
            </w:r>
            <w:proofErr w:type="spellStart"/>
            <w:r>
              <w:t>Красноярскнефтепродукт</w:t>
            </w:r>
            <w:proofErr w:type="spellEnd"/>
            <w:r>
              <w:t>» филиал «Восточный») № 16; (система теплоснабжения котельн</w:t>
            </w:r>
            <w:r>
              <w:t>ой ФГБУ «ЦЖКУ» Минобороны РФ) № 18; (система теплоснабжения котельной КГБУЗ «Красноярский краевой противотуберкулезный диспансер №1») № 19.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center"/>
            </w:pPr>
            <w:proofErr w:type="gramStart"/>
            <w:r>
              <w:t>КГБУ СО «</w:t>
            </w:r>
            <w:proofErr w:type="spellStart"/>
            <w:r>
              <w:t>Канский</w:t>
            </w:r>
            <w:proofErr w:type="spellEnd"/>
            <w:r>
              <w:t xml:space="preserve"> психоневрологический интернат» (ИНН 2450003647), номер (индекс) технологически изолированной зоны д</w:t>
            </w:r>
            <w:r>
              <w:t>ействия (система теплоснабжения котельной</w:t>
            </w:r>
            <w:proofErr w:type="gramEnd"/>
          </w:p>
          <w:p w:rsidR="00E12FC2" w:rsidRDefault="0072663C">
            <w:pPr>
              <w:pStyle w:val="a5"/>
              <w:shd w:val="clear" w:color="auto" w:fill="auto"/>
              <w:spacing w:line="276" w:lineRule="auto"/>
              <w:jc w:val="center"/>
            </w:pPr>
            <w:proofErr w:type="gramStart"/>
            <w:r>
              <w:t>КГБУ СО «</w:t>
            </w:r>
            <w:proofErr w:type="spellStart"/>
            <w:r>
              <w:t>Канский</w:t>
            </w:r>
            <w:proofErr w:type="spellEnd"/>
            <w:r>
              <w:t xml:space="preserve"> психоневрологический интернат») №17</w:t>
            </w:r>
            <w:proofErr w:type="gramEnd"/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Тип котельной по виду используемого топлива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уголь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Технико-экономические параметры работы котельных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2.1.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Установленная тепловая мощность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</w:tr>
    </w:tbl>
    <w:p w:rsidR="00E12FC2" w:rsidRDefault="0072663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2"/>
        <w:gridCol w:w="8082"/>
        <w:gridCol w:w="1026"/>
        <w:gridCol w:w="5944"/>
      </w:tblGrid>
      <w:tr w:rsidR="00E12F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firstLine="280"/>
            </w:pPr>
            <w:r>
              <w:lastRenderedPageBreak/>
              <w:t>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tabs>
                <w:tab w:val="left" w:pos="2974"/>
              </w:tabs>
              <w:jc w:val="center"/>
            </w:pPr>
            <w:r>
              <w:t>4</w:t>
            </w:r>
            <w:r>
              <w:tab/>
              <w:t>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97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2.2.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Тип площадки строительства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83" w:lineRule="auto"/>
              <w:jc w:val="center"/>
            </w:pPr>
            <w:r>
              <w:t xml:space="preserve">новый осваиваемый под жилищное строительство земельный участок со следующими видами разрешенного использования: "Коммунальное обслуживание", "Общественное использование объектов капитального </w:t>
            </w:r>
            <w:r>
              <w:t>строительства", "Обслуживание жилой застройки", "Жилая застройка"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Площадь земельного участка под строительство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кв. м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4200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2.4.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Общая жилая площадь жилого квартала, на территории которого находится котельная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кв. м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700"/>
              <w:jc w:val="both"/>
            </w:pPr>
            <w:r>
              <w:t>68850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2.5.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Средняя этажность </w:t>
            </w:r>
            <w:r>
              <w:t>жилищной застройки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этажей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18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2.6.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Тип оборудования по видам используемого топлива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стационарная котельная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2.7.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Коэффициент готовности, учитывающий продолжительность годовой работы оборудования 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0,97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2.8.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Удельный расход топлива при </w:t>
            </w:r>
            <w:r>
              <w:t>производстве тепловой энергии 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proofErr w:type="spellStart"/>
            <w:r>
              <w:t>кгу.т</w:t>
            </w:r>
            <w:proofErr w:type="spellEnd"/>
            <w:r>
              <w:t>./Гкал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176,4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2.9.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Ценовая категория потребителя розничного рынка электрической энергии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куб. м/год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center"/>
            </w:pPr>
            <w:r>
              <w:t xml:space="preserve">первая ценовая категория (для технологически изолированных территориальных электроэнергетических систем - </w:t>
            </w:r>
            <w:r>
              <w:t xml:space="preserve">категория, для которой применяется </w:t>
            </w:r>
            <w:proofErr w:type="spellStart"/>
            <w:r>
              <w:t>одноставочная</w:t>
            </w:r>
            <w:proofErr w:type="spellEnd"/>
            <w:r>
              <w:t xml:space="preserve"> цена (тариф) на электрическую энергию без дифференциации по зонам суток)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2.10.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Расход воды на водоподготовку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куб. м/год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1239,175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2.11.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Расход воды на собственные нужды 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куб. м/год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73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2.12.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Объем </w:t>
            </w:r>
            <w:r>
              <w:t>водоотведения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73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2.13.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Базовая величина капитальных затрат на строительство 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122699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2.14.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Базовая величина капитальных затрат на основные средства 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700"/>
              <w:jc w:val="both"/>
            </w:pPr>
            <w:r>
              <w:t>73447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2.15.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Коэффициент расходов на техническое </w:t>
            </w:r>
            <w:r>
              <w:t>обслуживание и ремонт основных средств 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0,02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15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Технико-экономические параметры работы тепловых сетей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3.1.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Температурный график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°C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110/70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3.2.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Теплоноситель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горячая вода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3.3.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Расчетное давление в сети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center"/>
            </w:pPr>
            <w:r>
              <w:t>МПа (кгс/кв. см)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0,6 (6,0)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3.4.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83" w:lineRule="auto"/>
            </w:pPr>
            <w:r>
              <w:t xml:space="preserve">Тип </w:t>
            </w:r>
            <w:r>
              <w:t>схемы тепловых сетей для территорий, не относящихся к территориям распространения вечномерзлых грунтов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center"/>
            </w:pPr>
            <w:proofErr w:type="gramStart"/>
            <w:r>
              <w:t>двухтрубная</w:t>
            </w:r>
            <w:proofErr w:type="gramEnd"/>
            <w:r>
              <w:t>, независимая закрытая, строительство индивидуальных тепловых пунктов не включается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3.5.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83" w:lineRule="auto"/>
            </w:pPr>
            <w:r>
              <w:t xml:space="preserve">Способ прокладки тепловой сети для территорий, не </w:t>
            </w:r>
            <w:r>
              <w:t>относящихся к территориям распространения вечномерзлых грунтов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 xml:space="preserve">подземный </w:t>
            </w:r>
            <w:proofErr w:type="spellStart"/>
            <w:r>
              <w:t>бесканальный</w:t>
            </w:r>
            <w:proofErr w:type="spellEnd"/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3.6.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86" w:lineRule="auto"/>
            </w:pPr>
            <w:r>
              <w:t>Тип изоляции для территорий, не относящихся к территориям, относящимся к территориям распространения вечномерзлых грунтов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proofErr w:type="spellStart"/>
            <w:r>
              <w:t>пенополиуретан</w:t>
            </w:r>
            <w:proofErr w:type="spellEnd"/>
            <w:r>
              <w:t xml:space="preserve"> в полиэтиленовой оболочке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15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Параметры тепловой сети: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3.7.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а) длина тепловой сети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м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850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3.8.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б) средневзвешенный диаметр трубопроводов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мм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185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15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Базовая величина капитальных затрат на строительство тепловой сети: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3.9.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базовая величина капитальных затрат на строительство тепловой </w:t>
            </w:r>
            <w:r>
              <w:t>сети для территорий, не относящихся к территориям распространения вечномерзлых грунтов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22790</w:t>
            </w:r>
          </w:p>
        </w:tc>
      </w:tr>
    </w:tbl>
    <w:p w:rsidR="00E12FC2" w:rsidRDefault="0072663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8122"/>
        <w:gridCol w:w="1037"/>
        <w:gridCol w:w="3870"/>
        <w:gridCol w:w="2160"/>
      </w:tblGrid>
      <w:tr w:rsidR="00E12F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ind w:firstLine="300"/>
              <w:jc w:val="both"/>
            </w:pPr>
            <w:r>
              <w:lastRenderedPageBreak/>
              <w:t>1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15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Базовая величина капитальных затрат на основные средства тепловых сетей: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3.10.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83" w:lineRule="auto"/>
            </w:pPr>
            <w:r>
              <w:t>базовая величина капитальных затрат на основные средства</w:t>
            </w:r>
            <w:r>
              <w:t xml:space="preserve"> тепловых сетей для территорий, не относящихся к территориям распространения вечномерзлых грунтов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6200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3.11.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Коэффициент расходов на техническое обслуживание и ремонт основных средств тепловых сетей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0,015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72663C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15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Параметры технологического </w:t>
            </w:r>
            <w:r>
              <w:t xml:space="preserve">присоединения (подключения)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котельной к электрическим сетям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Общая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котельной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кВт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180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4.2.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Уровень напряжения электрической сети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кВ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proofErr w:type="gramStart"/>
            <w:r>
              <w:t>Ю</w:t>
            </w:r>
            <w:proofErr w:type="gramEnd"/>
            <w:r>
              <w:t>(6)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4.3.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Категория надежности </w:t>
            </w:r>
            <w:r>
              <w:t>электроснабжения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первая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4.4.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Подготовка и выдача сетевой организацией технических условий заявителю (котельной)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360"/>
              <w:jc w:val="both"/>
            </w:pPr>
            <w:r>
              <w:t>осуществляется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4.5.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360"/>
              <w:jc w:val="both"/>
            </w:pPr>
            <w:r>
              <w:t>осуществляется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4.6.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выполняются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4.7.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строительство воздушных линий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280"/>
              <w:jc w:val="both"/>
            </w:pPr>
            <w:r>
              <w:t>не осуществляется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4.8.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строительство кабельных линий: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360"/>
              <w:jc w:val="both"/>
            </w:pPr>
            <w:r>
              <w:t>осуществляется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4.9.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протяженность линий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км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 xml:space="preserve">0,6 (2 линии в </w:t>
            </w:r>
            <w:r>
              <w:t>траншее по 0,3 км каждая)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4.10.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сечение жилы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кв. мм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4.11.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материал жилы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алюминий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4.12.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количество жил в линии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штук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4.13.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способ прокладки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в траншее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4.14.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вид изоляции кабеля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center"/>
            </w:pPr>
            <w:r>
              <w:t xml:space="preserve">кабели с изоляцией из поливинилхлоридного пластиката или сшитого </w:t>
            </w:r>
            <w:r>
              <w:t>полиэтилена,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(общепромышленное исполнение) или с металлической, свинцовой и другой оболочкой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4.15.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строительство пунктов секционирования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360"/>
              <w:jc w:val="both"/>
            </w:pPr>
            <w:r>
              <w:t>осуществляется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4.16.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количество пунктов секционирования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штук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4.17.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строительство комплектных трансформаторных подстанций по уровням напряжения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280"/>
              <w:jc w:val="both"/>
            </w:pPr>
            <w:r>
              <w:t>не осуществляется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4.18.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строительство распределительных </w:t>
            </w:r>
            <w:r>
              <w:t>трансформаторных подстанций по уровням напряжения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280"/>
              <w:jc w:val="both"/>
            </w:pPr>
            <w:r>
              <w:t>не осуществляется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4.19.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строительство распределительных пунктов по уровням напряжения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280"/>
              <w:jc w:val="both"/>
            </w:pPr>
            <w:r>
              <w:t>не осуществляется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4.20.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строительство центров питания, подстанций по уровням напряжения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280"/>
              <w:jc w:val="both"/>
            </w:pPr>
            <w:r>
              <w:t>не осуществляется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4.21.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Проверка сетевой организацией выполнения заявителем (котельной) технических условий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360"/>
              <w:jc w:val="both"/>
            </w:pPr>
            <w:r>
              <w:t>осуществляется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4.22.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Участие сетевой организации в осмотре должностным лицом органа федерального государственного энергетического надзора присоединяемых устройств </w:t>
            </w:r>
            <w:r>
              <w:t>заявителя (котельной)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ind w:left="2360"/>
              <w:jc w:val="both"/>
            </w:pPr>
            <w:r>
              <w:t>осуществляется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4.23.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осуществляются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15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Параметры подключения (технологического присоединения) котельной к централизованной системе </w:t>
            </w:r>
            <w:r>
              <w:t>водоснабжения и водоотведения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5.1.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Объем бака аварийного запаса воды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куб. м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5.2.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Размер поперечного сечения трубопровода сетей централизованного водоснабжения и водоотведения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кв. см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до 300</w:t>
            </w:r>
          </w:p>
        </w:tc>
      </w:tr>
    </w:tbl>
    <w:p w:rsidR="00E12FC2" w:rsidRDefault="0072663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8078"/>
        <w:gridCol w:w="1018"/>
        <w:gridCol w:w="3840"/>
        <w:gridCol w:w="2131"/>
      </w:tblGrid>
      <w:tr w:rsidR="00E12F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ind w:firstLine="300"/>
              <w:jc w:val="both"/>
            </w:pPr>
            <w:r>
              <w:lastRenderedPageBreak/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Величина подключаемой (технологически </w:t>
            </w:r>
            <w:r>
              <w:t>присоединяемой)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до 10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Диаметр трубопровода сетей централизованного водоснабжения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мм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Диаметр трубопровода сетей водоотведения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мм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15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Условия прокладки сетей централизованного водоснабжения и водоотведения: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а) тип </w:t>
            </w:r>
            <w:r>
              <w:t>прокладки сетей централизованного водоснабжения и водоотведения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подземная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5.7.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б) материал трубопровода сетей централизованного водоснабжения (водоотведения)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полиэтилен, или сталь, или чугун, или иной материал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5.8.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в) глубина залегания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 xml:space="preserve">ниже глубины </w:t>
            </w:r>
            <w:r>
              <w:t>промерзания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5.9.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г) стесненность условий при прокладке сетей централизованного водоснабжения и водоотведения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городская застройка, новое строительство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5.10.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proofErr w:type="spellStart"/>
            <w:r>
              <w:t>д</w:t>
            </w:r>
            <w:proofErr w:type="spellEnd"/>
            <w:r>
              <w:t>) тип грунта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по местным условиям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5.11.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9" w:lineRule="auto"/>
            </w:pPr>
            <w:r>
              <w:t xml:space="preserve">Величина подключаемой (технологически присоединяемой) </w:t>
            </w:r>
            <w:r>
              <w:t>нагрузки к централизованной системе водоснабжения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куб. м/сутки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3,7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5.12.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4" w:lineRule="auto"/>
            </w:pPr>
            <w:r>
              <w:t>Величина подключаемой (технологически присоединяемой) нагрузки к централизованной системе водоотведения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куб. м/сутки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0,2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5.13.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Протяженность сетей от котельной до места подключения </w:t>
            </w:r>
            <w:r>
              <w:t>к централизованной системе водоснабжения и водоотведения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м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300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5.14.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Базовая 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83" w:lineRule="auto"/>
              <w:jc w:val="center"/>
            </w:pPr>
            <w:r>
              <w:t xml:space="preserve">рублей/куб. </w:t>
            </w:r>
            <w:proofErr w:type="gramStart"/>
            <w:r>
              <w:t>м</w:t>
            </w:r>
            <w:proofErr w:type="gramEnd"/>
            <w:r>
              <w:t>/сутки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139348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5.15.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83" w:lineRule="auto"/>
            </w:pPr>
            <w:r>
              <w:t xml:space="preserve">Базовая ставка тарифа за расстояние от точки </w:t>
            </w:r>
            <w:r>
              <w:t>подключения (технологического присоединения) котельной до точки подключения водопроводных сетей к централизованной системе водоснабжения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рублей/</w:t>
            </w:r>
            <w:proofErr w:type="gramStart"/>
            <w:r>
              <w:t>м</w:t>
            </w:r>
            <w:proofErr w:type="gram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8200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5.16.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Базовая ставка тарифа за подключаемую (технологически присоединяемую) нагрузку канализационной </w:t>
            </w:r>
            <w:r>
              <w:t>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83" w:lineRule="auto"/>
              <w:jc w:val="center"/>
            </w:pPr>
            <w:r>
              <w:t xml:space="preserve">рублей/куб. </w:t>
            </w:r>
            <w:proofErr w:type="gramStart"/>
            <w:r>
              <w:t>м</w:t>
            </w:r>
            <w:proofErr w:type="gramEnd"/>
            <w:r>
              <w:t>/сутки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119543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5.17.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>Базовая ставка тарифа за расстояние от точки подключения (технологического присоединения) котельной до точки подключения канализационных сетей к централизованной системе водоотведения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рублей/</w:t>
            </w:r>
            <w:proofErr w:type="gramStart"/>
            <w:r>
              <w:t>м</w:t>
            </w:r>
            <w:proofErr w:type="gram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8611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5.18.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Коэффициент </w:t>
            </w:r>
            <w:r>
              <w:t>использования установленной тепловой мощности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0,337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5.19.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Коэффициент для температурных зон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72663C">
            <w:pPr>
              <w:pStyle w:val="a5"/>
              <w:shd w:val="clear" w:color="auto" w:fill="auto"/>
            </w:pPr>
            <w:r>
              <w:t>5.19.1.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72663C">
            <w:pPr>
              <w:pStyle w:val="a5"/>
              <w:shd w:val="clear" w:color="auto" w:fill="auto"/>
            </w:pPr>
            <w:r>
              <w:t>Котельная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1,13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5.19.2.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1,063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5.20.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Коэффициент сейсмического влияния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5.20.1.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Котельная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5.20.2.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5.21.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Температурная зона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5.22.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Коэффициент влияния расстояния на транспортировку основных средств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1,01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15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Параметры подключения (технологического присоединения) котельной к газораспределительным сетям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5.23.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Тип газопровода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5.24.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proofErr w:type="gramStart"/>
            <w:r>
              <w:t>Тип прокладки</w:t>
            </w:r>
            <w:r>
              <w:t xml:space="preserve"> газопровода (подземная или надземная (наземная)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5.25.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Диаметр газопровода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мм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5.26.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FC2" w:rsidRDefault="0072663C">
            <w:pPr>
              <w:pStyle w:val="a5"/>
              <w:shd w:val="clear" w:color="auto" w:fill="auto"/>
            </w:pPr>
            <w:r>
              <w:t>Масса газопровода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т/м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</w:tbl>
    <w:p w:rsidR="00E12FC2" w:rsidRDefault="0072663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8093"/>
        <w:gridCol w:w="1026"/>
        <w:gridCol w:w="3820"/>
        <w:gridCol w:w="2106"/>
      </w:tblGrid>
      <w:tr w:rsidR="00E12FC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firstLine="300"/>
              <w:jc w:val="both"/>
            </w:pPr>
            <w:r>
              <w:lastRenderedPageBreak/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5.27.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Протяженность газопровода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м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5.28.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Максимальный часовой расход газа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5.29.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Газорегуляторные пункты шкафные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штук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5.30.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Тип газорегуляторного пункта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5.31.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Пункт учета расхода газа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штук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5.32.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Базовая величина затрат на технологическое присоединение к газораспределительным сетям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6.</w:t>
            </w:r>
          </w:p>
        </w:tc>
        <w:tc>
          <w:tcPr>
            <w:tcW w:w="15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Инвестиционные параметры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6.1.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Базовый уровень нормы </w:t>
            </w:r>
            <w:r>
              <w:t>доходности инвестированного капитала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13,88%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6.2.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Базовый уровень ключевой ставки Банка России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12,64%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6.3.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Срок возврата инвестированного капитала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лет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6.4.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Период амортизации котельной и тепловых сетей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лет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15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86" w:lineRule="auto"/>
              <w:jc w:val="both"/>
            </w:pPr>
            <w:r>
              <w:t xml:space="preserve">Штатная численность и базовый </w:t>
            </w:r>
            <w:r>
              <w:t>уровень оплаты труда персонала котельной / базовый уровень ежемесячной оплаты труда сотрудника котельной, тыс. рублей / Коэффициент загрузки, процентов / Базовый уровень ежемесячной оплаты труда сотрудника котельной с учетом коэффициента загрузки, тыс. руб</w:t>
            </w:r>
            <w:r>
              <w:t>лей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7.1.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Начальник 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firstLine="340"/>
              <w:jc w:val="both"/>
            </w:pPr>
            <w:r>
              <w:t>чел.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1/70/100/70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7.2.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Старший оператор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чел.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5/40/50/20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7.3.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Слесарь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чел.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1/40/100/40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7.4.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Инженер-электрик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чел.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1/40/33/13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7.5.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Инженер-химик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чел.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1/40/33/13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7.6.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Инженер КИП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firstLine="340"/>
              <w:jc w:val="both"/>
            </w:pPr>
            <w:r>
              <w:t>чел.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1/40/33/13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7.7.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Машинист (кочегар) </w:t>
            </w:r>
            <w:r>
              <w:t>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чел.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5/40/50/20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7.8.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Среднемесячная заработная плата работников организаций по отрасли "Производство и распределение электроэнергии, газа и воды" по г. Москве для расчета </w:t>
            </w:r>
            <w:proofErr w:type="gramStart"/>
            <w:r>
              <w:t xml:space="preserve">коэффициента корректировки базового уровня ежемесячной оплаты труда </w:t>
            </w:r>
            <w:r>
              <w:t>сотрудника котельной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ind w:firstLine="340"/>
              <w:jc w:val="both"/>
            </w:pPr>
            <w:r>
              <w:t>руб.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86941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>Коэффициент расходов на плату за выбросы загрязняющих веществ в атмосферный воздух в пределах установленных нормативов и (или) лимитов для котельной с использованием угля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0,0094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объем полезного отпуска тепловой </w:t>
            </w:r>
            <w:r>
              <w:t>энергии котельной, использованный при расчете предельного уровня цены на тепловую энергию (мощность)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Гкал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28,64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величина составляющей предельного уровня цены на тепловую энергию (мощность), обеспечивающая компенсацию расходов на топливо при </w:t>
            </w:r>
            <w:r>
              <w:t>производстве тепловой энергии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442,08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224,88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10.1.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>фактическая цена на вид топлива, использование которого преобладает в системе теплоснабжения, с учетом затрат на его доставку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рублей/т н.т.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1 054,15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536,23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10.2.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низшая теплота сгорания вида </w:t>
            </w:r>
            <w:r>
              <w:t>топлива, использование которого преобладает в системе теплоснабжения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proofErr w:type="gramStart"/>
            <w:r>
              <w:t>ккал</w:t>
            </w:r>
            <w:proofErr w:type="gramEnd"/>
            <w:r>
              <w:t>/кг н.т.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3 200,00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3 200,00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10.3.</w:t>
            </w:r>
          </w:p>
        </w:tc>
        <w:tc>
          <w:tcPr>
            <w:tcW w:w="15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значения прогнозных индексов роста цены на топливо: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2019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4,3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2020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4,2</w:t>
            </w:r>
          </w:p>
        </w:tc>
      </w:tr>
    </w:tbl>
    <w:p w:rsidR="00E12FC2" w:rsidRDefault="0072663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8100"/>
        <w:gridCol w:w="1019"/>
        <w:gridCol w:w="6001"/>
      </w:tblGrid>
      <w:tr w:rsidR="00E12FC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firstLine="300"/>
            </w:pPr>
            <w:r>
              <w:lastRenderedPageBreak/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tabs>
                <w:tab w:val="left" w:pos="2945"/>
              </w:tabs>
              <w:jc w:val="center"/>
            </w:pPr>
            <w:r>
              <w:t>4</w:t>
            </w:r>
            <w:r>
              <w:tab/>
              <w:t>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величина составляющей предельного уровня цены </w:t>
            </w:r>
            <w:r>
              <w:t>на тепловую энергию (мощность), обеспечивающая возврат капитальных затрат на строительство котельной и тепловых сетей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1 167,84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11.1.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величина капитальных затрат на строительство котельной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195 044,47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11.2.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температурная зона и </w:t>
            </w:r>
            <w:r>
              <w:t>сейсмический район, к которым относится поселение или городской округ, на территории которого находится указанная система теплоснабжения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 температурная зона,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FC2" w:rsidRDefault="00E12FC2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6 сейсмический район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11.3.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расстояние от границы системы теплоснабжения до границы </w:t>
            </w:r>
            <w:r>
              <w:t>ближайшего административного центра субъекта Российской Федерации с железнодорожным сообщением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км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от 200 до 500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11.4.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отнесение поселения или городского округа, на территории которого находится система теплоснабжения, к территории распространения </w:t>
            </w:r>
            <w:r>
              <w:t>вечномерзлых грунтов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не отнесен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11.5.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величина капитальных затрат на строительство тепловых сетей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33 741,97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11.6.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величина затрат на технологическое присоединение (подключение) к электрическим сетям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1 345,68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11.7.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69" w:lineRule="auto"/>
            </w:pPr>
            <w:r>
              <w:t xml:space="preserve">величина </w:t>
            </w:r>
            <w:r>
              <w:t>затрат на подключение (технологическое присоединение) котельной к централизованной системе водоснабжения и водоотведения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11325,65 (водоснабжение)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9538,33 (водоотведение)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11.8.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величина затрат на подключение (технологическое присоединение) </w:t>
            </w:r>
            <w:r>
              <w:t>к газораспределительным сетям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отсутствует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11.9.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69" w:lineRule="auto"/>
            </w:pPr>
            <w:r>
              <w:t>стоимость земельного участка для строительства котельной, а также удельная стоимость земельного участка с соответствующим видом разрешенного использования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2 146,65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center"/>
            </w:pPr>
            <w:r>
              <w:t xml:space="preserve">тыс. рублей/кв. </w:t>
            </w:r>
            <w:r>
              <w:t>метров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FC2" w:rsidRDefault="0072663C">
            <w:pPr>
              <w:pStyle w:val="a5"/>
              <w:shd w:val="clear" w:color="auto" w:fill="auto"/>
              <w:ind w:left="2760"/>
              <w:jc w:val="both"/>
            </w:pPr>
            <w:r>
              <w:t>0,37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Постановление Правительства Красноярского края от 22.11.2011г. №708-п (Приложение №3) "Об утверждении </w:t>
            </w:r>
            <w:proofErr w:type="gramStart"/>
            <w:r>
              <w:t>результатов государственной кадастровой оценки земель населенных пунктов Красноярского края</w:t>
            </w:r>
            <w:proofErr w:type="gramEnd"/>
            <w:r>
              <w:t>"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11.10.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69" w:lineRule="auto"/>
            </w:pPr>
            <w:r>
              <w:t xml:space="preserve">норма доходности инвестированного </w:t>
            </w:r>
            <w:r>
              <w:t>капитала, значение ключевой ставки Центрального банка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ind w:left="2760"/>
              <w:jc w:val="both"/>
            </w:pPr>
            <w:r>
              <w:t>6,48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ind w:left="2760"/>
              <w:jc w:val="both"/>
            </w:pPr>
            <w:r>
              <w:t>5,32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11.11.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значения прогнозных индексов цен производителей промышленной продукции (ИЦП):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FC2" w:rsidRDefault="00E12FC2">
            <w:pPr>
              <w:rPr>
                <w:sz w:val="10"/>
                <w:szCs w:val="10"/>
              </w:rPr>
            </w:pP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2016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ind w:left="2760"/>
              <w:jc w:val="both"/>
            </w:pPr>
            <w:r>
              <w:t>4,32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ind w:left="2760"/>
              <w:jc w:val="both"/>
            </w:pPr>
            <w:r>
              <w:t>7,64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11,90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ind w:left="2760"/>
              <w:jc w:val="both"/>
            </w:pPr>
            <w:r>
              <w:t>5,30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left="2760"/>
              <w:jc w:val="both"/>
            </w:pPr>
            <w:r>
              <w:t>2,80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ind w:left="2760"/>
              <w:jc w:val="both"/>
            </w:pPr>
            <w:r>
              <w:t>2,40</w:t>
            </w:r>
          </w:p>
        </w:tc>
      </w:tr>
    </w:tbl>
    <w:p w:rsidR="00E12FC2" w:rsidRDefault="0072663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8100"/>
        <w:gridCol w:w="1012"/>
        <w:gridCol w:w="3816"/>
        <w:gridCol w:w="2131"/>
      </w:tblGrid>
      <w:tr w:rsidR="00E12FC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firstLine="300"/>
              <w:jc w:val="both"/>
            </w:pPr>
            <w:r>
              <w:lastRenderedPageBreak/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>Величина составляющей предельного уровня цены на тепловую энергию (мощность), обеспечивающей компенсацию расходов на уплату налогов,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275,53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12.1.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величина расходов на уплату налога на прибыль от </w:t>
            </w:r>
            <w:r>
              <w:t>деятельности, связанной с производством и поставкой тепловой энергии (мощности)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4 386,47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12.2.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величина ставки налога на прибыль от указанной деятельности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12.3.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величина расходов на уплату налога на имущество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3 497,07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12.4.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величина ставки налога на имущество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2,2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12.5.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величина расходов на уплату земельного налога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6,44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12.6.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величина ставки земельного налога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0,3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>величина составляющей предельного уровня цены на тепловую энергию (мощность), обеспечивающая</w:t>
            </w:r>
            <w:r>
              <w:t xml:space="preserve"> компенсацию прочих расходов при производстве тепловой энергии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308,88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291,63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13.1.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9" w:lineRule="auto"/>
            </w:pPr>
            <w:r>
              <w:t>величина расходов на техническое обслуживание и ремонт основных средств котельной и тепловых сетей в базовом году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1 561,94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13.2.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 xml:space="preserve">величина расходов </w:t>
            </w:r>
            <w:r>
              <w:t>на электрическую энергию на собственные нужды котельной в базовом году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1 586,72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13.3.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76" w:lineRule="auto"/>
            </w:pPr>
            <w:r>
              <w:t xml:space="preserve">сведения о наименовании гарантирующего поставщика и среднеарифметической величине из значений цен (тарифов), определяемых гарантирующим поставщиком, в </w:t>
            </w:r>
            <w:r>
              <w:t>базовом году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center"/>
            </w:pPr>
            <w:r>
              <w:t xml:space="preserve">Гарантирую </w:t>
            </w:r>
            <w:proofErr w:type="spellStart"/>
            <w:r>
              <w:t>щий</w:t>
            </w:r>
            <w:proofErr w:type="spellEnd"/>
            <w:r>
              <w:t xml:space="preserve"> поставщик, рублей/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3,08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13.4.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</w:pPr>
            <w:r>
              <w:t>величина расходов на водоподготовку и водоотведение котельной в базовом году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41,58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13.5.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сведения о наименовании гарантирующей организации в сфере </w:t>
            </w:r>
            <w:r>
              <w:t>холодного водоснабжения, гарантирующей организации в сфере водоотведения и величина действующих на день окончания базового года тарифов на питьевую воду (питьевое водоснабжение) и тарифов на водоотведение, установленных для указанных организаций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center"/>
            </w:pPr>
            <w:r>
              <w:t>рублей/куб</w:t>
            </w:r>
            <w:r>
              <w:t>. метров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ООО</w:t>
            </w:r>
            <w:r>
              <w:t xml:space="preserve"> "Водоканал-Сервис"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Тариф на питьевую воду: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30,08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Тариф на водоотведение: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8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E12FC2"/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28,96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13.6.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69" w:lineRule="auto"/>
              <w:jc w:val="both"/>
            </w:pPr>
            <w:r>
              <w:t>величина расходов на оплату труда персонала котельной в базовом году, включая величину расходов на уплату страховых взносов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 xml:space="preserve">1 </w:t>
            </w:r>
            <w:r>
              <w:t>976,25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13.7.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величина иных прочих расходов при производстве тепловой энергии котельной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1 648,94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1 155,10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13.8.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величина расходов на утилизацию и размещение золы и шлака и на плату за выбросы загрязняющих веществ в атмосферный воздух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 xml:space="preserve">тыс. </w:t>
            </w:r>
            <w:r>
              <w:t>рублей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1 005,14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511,30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величина составляющей предельного уровня цены на тепловую энергию (мощность), обеспечивающая компенсацию расходов по сомнительным долгам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43,89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39,20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both"/>
            </w:pPr>
            <w:proofErr w:type="gramStart"/>
            <w:r>
              <w:t xml:space="preserve">величина составляющей предельного уровня цены на тепловую </w:t>
            </w:r>
            <w:r>
              <w:t>энергию (мощность), обеспечивающая компенсацию отклонений фактических индексов от прогнозных, используемых при расчете предельного уровня цены на тепловую энергию (мощность)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</w:tbl>
    <w:p w:rsidR="00E12FC2" w:rsidRDefault="0072663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8078"/>
        <w:gridCol w:w="1019"/>
        <w:gridCol w:w="3812"/>
        <w:gridCol w:w="2099"/>
      </w:tblGrid>
      <w:tr w:rsidR="00E12F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ind w:firstLine="300"/>
            </w:pPr>
            <w:r>
              <w:lastRenderedPageBreak/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15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16.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both"/>
            </w:pPr>
            <w:proofErr w:type="gramStart"/>
            <w:r>
              <w:t xml:space="preserve">величина составляющей предельного уровня цены на </w:t>
            </w:r>
            <w:r>
              <w:t>тепловую энергию (мощность),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(мощность), обеспечивающей компенсацию расходов на топливо, а также фа</w:t>
            </w:r>
            <w:r>
              <w:t>ктическая цена на вид топлива, использование которого преобладает в системе теплоснабжения, используемая при расчете фактической составляющей предельного уровня цены на тепловую энергию (мощность), обеспечивающая компенсацию расходов</w:t>
            </w:r>
            <w:proofErr w:type="gramEnd"/>
            <w:r>
              <w:t xml:space="preserve"> на топливо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E12FC2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</w:pPr>
            <w:r>
              <w:t>17.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FC2" w:rsidRDefault="0072663C">
            <w:pPr>
              <w:pStyle w:val="a5"/>
              <w:shd w:val="clear" w:color="auto" w:fill="auto"/>
              <w:spacing w:line="276" w:lineRule="auto"/>
              <w:jc w:val="both"/>
            </w:pPr>
            <w:proofErr w:type="gramStart"/>
            <w:r>
              <w:t>величина составляющей предельного уровня цены на тепловую энергию (мощность),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(мощность), о</w:t>
            </w:r>
            <w:r>
              <w:t xml:space="preserve">беспечивающей компенсацию расходов на уплату налогов, а также фактические ставки налогов (рублей/Гкал), используемые при расчете фактической составляющей предельного уровня цены на тепловую энергию (мощность), обеспечивающей компенсацию расходов на уплату </w:t>
            </w:r>
            <w:r>
              <w:t>налогов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FC2" w:rsidRDefault="0072663C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</w:tbl>
    <w:p w:rsidR="00000000" w:rsidRDefault="0072663C"/>
    <w:sectPr w:rsidR="00000000" w:rsidSect="00E12FC2">
      <w:headerReference w:type="default" r:id="rId7"/>
      <w:pgSz w:w="16840" w:h="11900" w:orient="landscape"/>
      <w:pgMar w:top="1057" w:right="566" w:bottom="481" w:left="456" w:header="629" w:footer="5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C2" w:rsidRDefault="00E12FC2" w:rsidP="00E12FC2">
      <w:r>
        <w:separator/>
      </w:r>
    </w:p>
  </w:endnote>
  <w:endnote w:type="continuationSeparator" w:id="0">
    <w:p w:rsidR="00E12FC2" w:rsidRDefault="00E12FC2" w:rsidP="00E1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C2" w:rsidRDefault="00E12FC2"/>
  </w:footnote>
  <w:footnote w:type="continuationSeparator" w:id="0">
    <w:p w:rsidR="00E12FC2" w:rsidRDefault="00E12F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C2" w:rsidRDefault="00E12F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7FE2"/>
    <w:multiLevelType w:val="multilevel"/>
    <w:tmpl w:val="24D2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2FC2"/>
    <w:rsid w:val="0012723C"/>
    <w:rsid w:val="0072663C"/>
    <w:rsid w:val="00E1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F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E1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E1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E12FC2"/>
    <w:pPr>
      <w:shd w:val="clear" w:color="auto" w:fill="FFFFFF"/>
      <w:spacing w:after="16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E12F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E12FC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2989</Words>
  <Characters>17039</Characters>
  <Application>Microsoft Office Word</Application>
  <DocSecurity>0</DocSecurity>
  <Lines>141</Lines>
  <Paragraphs>39</Paragraphs>
  <ScaleCrop>false</ScaleCrop>
  <Company>Microsoft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2020-09-23T09:07:00Z</dcterms:created>
  <dcterms:modified xsi:type="dcterms:W3CDTF">2020-09-23T09:10:00Z</dcterms:modified>
</cp:coreProperties>
</file>